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МИНИСТЕРСТВО ОБРАЗОВАНИЯ И НАУКИ </w:t>
        <w:br/>
        <w:t xml:space="preserve">РОССИЙСКОЙ ФЕДЕРАЦИИ</w:t>
      </w:r>
    </w:p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Федеральное государственное автономное</w:t>
        <w:br/>
        <w:t xml:space="preserve">образовательное учреждение высшего образования</w:t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Самарский национальный исследовательский университет</w:t>
        <w:br/>
        <w:t xml:space="preserve">имени академика С.П. Королева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</w:t>
        <w:br/>
        <w:t xml:space="preserve">(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Самарский университет)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  <w:br/>
      </w:r>
    </w:p>
    <w:p>
      <w:pPr>
        <w:tabs>
          <w:tab w:val="left" w:pos="2835" w:leader="none"/>
          <w:tab w:val="left" w:pos="9000" w:leader="none"/>
        </w:tabs>
        <w:spacing w:before="0" w:after="0" w:line="31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Институт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  <w:t xml:space="preserve">информатики, математики и электроники</w:t>
        <w:tab/>
      </w:r>
    </w:p>
    <w:p>
      <w:pPr>
        <w:tabs>
          <w:tab w:val="left" w:pos="4111" w:leader="none"/>
          <w:tab w:val="left" w:pos="9000" w:leader="none"/>
        </w:tabs>
        <w:spacing w:before="0" w:after="0" w:line="31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Факультет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  <w:t xml:space="preserve">информатики</w:t>
        <w:tab/>
      </w:r>
    </w:p>
    <w:p>
      <w:pPr>
        <w:tabs>
          <w:tab w:val="left" w:pos="3686" w:leader="none"/>
          <w:tab w:val="left" w:pos="9000" w:leader="none"/>
        </w:tabs>
        <w:spacing w:before="0" w:after="0" w:line="31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Кафедра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  <w:t xml:space="preserve">программных систем</w:t>
        <w:tab/>
      </w:r>
    </w:p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ОТЧЁТ</w:t>
      </w:r>
    </w:p>
    <w:p>
      <w:pPr>
        <w:spacing w:before="0" w:after="12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2127" w:leader="none"/>
          <w:tab w:val="left" w:pos="9355" w:leader="none"/>
        </w:tabs>
        <w:spacing w:before="0" w:after="12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по лабораторной работе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u w:val="single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по дисциплине</w:t>
        <w:tab/>
      </w:r>
    </w:p>
    <w:p>
      <w:pPr>
        <w:keepNext w:val="true"/>
        <w:keepLines w:val="true"/>
        <w:tabs>
          <w:tab w:val="left" w:pos="3544" w:leader="none"/>
          <w:tab w:val="left" w:pos="9355" w:leader="none"/>
        </w:tabs>
        <w:spacing w:before="0" w:after="15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</w:pPr>
      <w:r>
        <w:rPr>
          <w:rFonts w:ascii="Cambria" w:hAnsi="Cambria" w:cs="Cambria" w:eastAsia="Cambria"/>
          <w:color w:val="000000"/>
          <w:spacing w:val="0"/>
          <w:position w:val="0"/>
          <w:sz w:val="28"/>
          <w:u w:val="single"/>
          <w:shd w:fill="auto" w:val="clear"/>
        </w:rPr>
        <w:tab/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u w:val="single"/>
          <w:shd w:fill="auto" w:val="clear"/>
        </w:rPr>
        <w:t xml:space="preserve">Большие данные</w:t>
      </w:r>
      <w:r>
        <w:rPr>
          <w:rFonts w:ascii="Cambria" w:hAnsi="Cambria" w:cs="Cambria" w:eastAsia="Cambria"/>
          <w:color w:val="000000"/>
          <w:spacing w:val="0"/>
          <w:position w:val="0"/>
          <w:sz w:val="28"/>
          <w:u w:val="single"/>
          <w:shd w:fill="auto" w:val="clear"/>
        </w:rPr>
        <w:t xml:space="preserve">»</w:t>
        <w:tab/>
      </w: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1701" w:leader="none"/>
          <w:tab w:val="left" w:pos="9356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7371" w:leader="none"/>
          <w:tab w:val="left" w:pos="918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Студент группы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6132-020402D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Артамонов В.А,</w:t>
        <w:tab/>
      </w:r>
    </w:p>
    <w:p>
      <w:pPr>
        <w:tabs>
          <w:tab w:val="left" w:pos="6840" w:leader="none"/>
          <w:tab w:val="left" w:pos="918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371" w:leader="none"/>
          <w:tab w:val="left" w:pos="918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Проверил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Жидченко В.В.</w:t>
        <w:tab/>
      </w:r>
    </w:p>
    <w:p>
      <w:pPr>
        <w:tabs>
          <w:tab w:val="left" w:pos="6840" w:leader="none"/>
          <w:tab w:val="left" w:pos="918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6840" w:leader="none"/>
          <w:tab w:val="left" w:pos="918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tabs>
          <w:tab w:val="left" w:pos="774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74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74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740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74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Самара 2021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СОДЕРЖАНИЕ</w:t>
      </w:r>
    </w:p>
    <w:p>
      <w:pPr>
        <w:tabs>
          <w:tab w:val="right" w:pos="9345" w:leader="dot"/>
        </w:tabs>
        <w:spacing w:before="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Задание 1. Знакомство с системой Colab и реализацией линейной регрессии в библиотеках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</w:t>
      </w:r>
    </w:p>
    <w:p>
      <w:pPr>
        <w:tabs>
          <w:tab w:val="right" w:pos="9345" w:leader="dot"/>
        </w:tabs>
        <w:spacing w:before="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Задание 2. Анализ набора статистических данных с помощью линейной регрессии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7</w:t>
      </w:r>
    </w:p>
    <w:p>
      <w:pPr>
        <w:tabs>
          <w:tab w:val="right" w:pos="9345" w:leader="dot"/>
        </w:tabs>
        <w:spacing w:before="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СПИСОК ИСПОЛЬЗОВАННЫХ ИСТОЧНИКОВ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14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numPr>
          <w:ilvl w:val="0"/>
          <w:numId w:val="19"/>
        </w:numPr>
        <w:tabs>
          <w:tab w:val="left" w:pos="284" w:leader="none"/>
        </w:tabs>
        <w:spacing w:before="240" w:after="120" w:line="360"/>
        <w:ind w:right="0" w:left="7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Задание 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Знакомство с системой Colab и реализацией линейной регрессии в библиотеках Python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результате ознакомления с системой Colab и выполнения первичных авторизационных пунктов, перехоним непостредственно к реализации предоставленных методических указаний [1].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Загрузив данные из файла NY_max_temp_daily.csv и вызвав первичный метод head(), получаем:</w:t>
      </w:r>
      <w:r>
        <w:object w:dxaOrig="9678" w:dyaOrig="3563">
          <v:rect xmlns:o="urn:schemas-microsoft-com:office:office" xmlns:v="urn:schemas-microsoft-com:vml" id="rectole0000000000" style="width:483.900000pt;height:178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содержимого DataFrame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Создав новую ячейку, преобразовываем все значения в тип float и градусы Цельсия:</w:t>
      </w:r>
    </w:p>
    <w:p>
      <w:pPr>
        <w:spacing w:before="0" w:after="24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698" w:dyaOrig="4089">
          <v:rect xmlns:o="urn:schemas-microsoft-com:office:office" xmlns:v="urn:schemas-microsoft-com:vml" id="rectole0000000001" style="width:484.900000pt;height:204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содержимого DataFrame после преобразования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помощи библиотеки Pandas и ее методов, строим гистограммы для каждого столбца: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698" w:dyaOrig="7207">
          <v:rect xmlns:o="urn:schemas-microsoft-com:office:office" xmlns:v="urn:schemas-microsoft-com:vml" id="rectole0000000002" style="width:484.900000pt;height:360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Гистограммы распределения данных в каждом столбце DataFrame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показываем более наглядное представление данных, для этого разделяем DataFrame на два отдельных набора данных (температура и годы):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698" w:dyaOrig="4697">
          <v:rect xmlns:o="urn:schemas-microsoft-com:office:office" xmlns:v="urn:schemas-microsoft-com:vml" id="rectole0000000003" style="width:484.900000pt;height:234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содержимого DataFrame с разделением на отдельные наборы данных</w:t>
      </w:r>
    </w:p>
    <w:p>
      <w:pPr>
        <w:spacing w:before="0" w:after="240" w:line="360"/>
        <w:ind w:right="0" w:left="0" w:firstLine="284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Следом отображаем графически значение температуры, запуская новый код в отдельной ячейке:</w:t>
      </w:r>
    </w:p>
    <w:p>
      <w:pPr>
        <w:spacing w:before="0" w:after="24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678" w:dyaOrig="2874">
          <v:rect xmlns:o="urn:schemas-microsoft-com:office:office" xmlns:v="urn:schemas-microsoft-com:vml" id="rectole0000000004" style="width:483.900000pt;height:143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object w:dxaOrig="9678" w:dyaOrig="7613">
          <v:rect xmlns:o="urn:schemas-microsoft-com:office:office" xmlns:v="urn:schemas-microsoft-com:vml" id="rectole0000000005" style="width:483.900000pt;height:380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Scatter Plot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значений температуры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изображаем зависимость температуры от номера месяца на плоскости: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698" w:dyaOrig="4292">
          <v:rect xmlns:o="urn:schemas-microsoft-com:office:office" xmlns:v="urn:schemas-microsoft-com:vml" id="rectole0000000006" style="width:484.900000pt;height:214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Scatter Plot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значений температуры для каждого месяца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Оцениваем зависимость средней максимальной температуры месяца от номера месяца, используя линейную регрессию: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678" w:dyaOrig="6155">
          <v:rect xmlns:o="urn:schemas-microsoft-com:office:office" xmlns:v="urn:schemas-microsoft-com:vml" id="rectole0000000007" style="width:483.900000pt;height:307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График линейной модели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уточнения оценки, используем полиномиальную линейную регрессию. Вводим новый признак, который будет содержать квадрат номера месяца.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 = B0 + B1*Month + B2*Month*Month :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88" w:dyaOrig="4960">
          <v:rect xmlns:o="urn:schemas-microsoft-com:office:office" xmlns:v="urn:schemas-microsoft-com:vml" id="rectole0000000008" style="width:444.400000pt;height:248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График модели, полученной с помощью полиномиальной регрессии</w:t>
      </w:r>
    </w:p>
    <w:p>
      <w:pPr>
        <w:spacing w:before="0" w:after="24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строим график для проверки улучшения показателей коэффициента детерминации, используя полиномиальную линейную регрессию третьей степени(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 = B0 + B1*Month + B2*Month*Month+B3*(Month)^3)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55" w:dyaOrig="5669">
          <v:rect xmlns:o="urn:schemas-microsoft-com:office:office" xmlns:v="urn:schemas-microsoft-com:vml" id="rectole0000000009" style="width:472.750000pt;height:283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График модели, полученной с помощью полиномиальной линейной регрессии третьей степени</w:t>
      </w:r>
    </w:p>
    <w:p>
      <w:pPr>
        <w:keepNext w:val="true"/>
        <w:numPr>
          <w:ilvl w:val="0"/>
          <w:numId w:val="38"/>
        </w:numPr>
        <w:tabs>
          <w:tab w:val="left" w:pos="284" w:leader="none"/>
        </w:tabs>
        <w:spacing w:before="240" w:after="120" w:line="360"/>
        <w:ind w:right="0" w:left="709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Задание 2. Анализ набора статистических данных с помощью линейной регрессии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этом задании строим многомерную линейную регрессию для набора статистических данных, из приложенного архива к методическому указанию. Каждая строка набора содержит агрегированные данные в среднем от 1425.5 человек, проживающих компактно на определенной территории штата Калифорния. </w: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683" w:dyaOrig="7030">
          <v:rect xmlns:o="urn:schemas-microsoft-com:office:office" xmlns:v="urn:schemas-microsoft-com:vml" id="rectole0000000010" style="width:384.150000pt;height:351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object w:dxaOrig="8118" w:dyaOrig="2794">
          <v:rect xmlns:o="urn:schemas-microsoft-com:office:office" xmlns:v="urn:schemas-microsoft-com:vml" id="rectole0000000011" style="width:405.900000pt;height:139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Данные из репозитория тестовых наборов данных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Площадь области проживания для каждой группы выбрана обратно пропорционально плотности населения. Каждая строка связывает медианную стоимость частного дома с 8 параметрами: медианный доход, медианный возраст дома, среднее количество комнат, среднее количество спальных комнат, население территории, среднее количество жильцов дома, широта и долгота центроида территории, на которой получены данные. Набор данных содержит 20640 строк [1]. Набираем данные из репозитория тестовых наборов данных библиотеки Scikit-learn (Рисунок 10).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Объект cal, возвращаемый функцией fetch_california_housing(), содержит набор данных и метаданные, описывающие его. Поле DESCR содержит текстовое описание набора данных. Поле data содержит признаки, поле feature_names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имена признаков, поле target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значения зависимой переменной: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55" w:dyaOrig="2692">
          <v:rect xmlns:o="urn:schemas-microsoft-com:office:office" xmlns:v="urn:schemas-microsoft-com:vml" id="rectole0000000012" style="width:472.750000pt;height:134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Вызов объекта cal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Создаем Pandas DataFrame из набора данных: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212" w:dyaOrig="3482">
          <v:rect xmlns:o="urn:schemas-microsoft-com:office:office" xmlns:v="urn:schemas-microsoft-com:vml" id="rectole0000000013" style="width:460.600000pt;height:174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значений DataFrame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используем метод DataFrame.describe(), для вычисления числовых характеристик для каждого столбца (признака) DataFrame: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55" w:dyaOrig="4211">
          <v:rect xmlns:o="urn:schemas-microsoft-com:office:office" xmlns:v="urn:schemas-microsoft-com:vml" id="rectole0000000014" style="width:472.750000pt;height:210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значений DataFrame с методом DataFrame.describe()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Еще один полезный метод для ознакомления с набором данных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DataFrame.info():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527" w:dyaOrig="5811">
          <v:rect xmlns:o="urn:schemas-microsoft-com:office:office" xmlns:v="urn:schemas-microsoft-com:vml" id="rectole0000000015" style="width:276.350000pt;height:290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значений DataFrame с методом DataFrame.info()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строим гистограммы для всех столбцов DataFrame: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192" w:dyaOrig="6540">
          <v:rect xmlns:o="urn:schemas-microsoft-com:office:office" xmlns:v="urn:schemas-microsoft-com:vml" id="rectole0000000016" style="width:459.600000pt;height:327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гистограммы для всех столбцов DataFrame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Построим графическое представление данных в зависимости от координат местности: 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55" w:dyaOrig="5629">
          <v:rect xmlns:o="urn:schemas-microsoft-com:office:office" xmlns:v="urn:schemas-microsoft-com:vml" id="rectole0000000017" style="width:472.750000pt;height:281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графическое представление данных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используем библиотеку Seaborn:</w:t>
      </w:r>
    </w:p>
    <w:p>
      <w:pPr>
        <w:spacing w:before="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764" w:dyaOrig="2517">
          <v:rect xmlns:o="urn:schemas-microsoft-com:office:office" xmlns:v="urn:schemas-microsoft-com:vml" id="rectole0000000018" style="width:138.200000pt;height:125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2644" w:dyaOrig="2476">
          <v:rect xmlns:o="urn:schemas-microsoft-com:office:office" xmlns:v="urn:schemas-microsoft-com:vml" id="rectole0000000019" style="width:132.200000pt;height:123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2546" w:dyaOrig="2404">
          <v:rect xmlns:o="urn:schemas-microsoft-com:office:office" xmlns:v="urn:schemas-microsoft-com:vml" id="rectole0000000020" style="width:127.300000pt;height:120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2834" w:dyaOrig="2499">
          <v:rect xmlns:o="urn:schemas-microsoft-com:office:office" xmlns:v="urn:schemas-microsoft-com:vml" id="rectole0000000021" style="width:141.700000pt;height:124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2557" w:dyaOrig="2467">
          <v:rect xmlns:o="urn:schemas-microsoft-com:office:office" xmlns:v="urn:schemas-microsoft-com:vml" id="rectole0000000022" style="width:127.850000pt;height:123.3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2638" w:dyaOrig="2430">
          <v:rect xmlns:o="urn:schemas-microsoft-com:office:office" xmlns:v="urn:schemas-microsoft-com:vml" id="rectole0000000023" style="width:131.900000pt;height:121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4336" w:dyaOrig="3525">
          <v:rect xmlns:o="urn:schemas-microsoft-com:office:office" xmlns:v="urn:schemas-microsoft-com:vml" id="rectole0000000024" style="width:216.800000pt;height:176.2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3686" w:dyaOrig="3469">
          <v:rect xmlns:o="urn:schemas-microsoft-com:office:office" xmlns:v="urn:schemas-microsoft-com:vml" id="rectole0000000025" style="width:184.300000pt;height:173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16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зависимость цены дома от остальных признаков</w:t>
      </w:r>
    </w:p>
    <w:p>
      <w:pPr>
        <w:spacing w:before="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Разделяем набор данные на два подмножества, для обучения модели и для ее тестирования: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08" w:dyaOrig="3118">
          <v:rect xmlns:o="urn:schemas-microsoft-com:office:office" xmlns:v="urn:schemas-microsoft-com:vml" id="rectole0000000026" style="width:445.400000pt;height:155.9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17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разделение на два подмножества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Строим линейную регрессию, используя тренировочный набор данных: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175" w:dyaOrig="5507">
          <v:rect xmlns:o="urn:schemas-microsoft-com:office:office" xmlns:v="urn:schemas-microsoft-com:vml" id="rectole0000000027" style="width:308.750000pt;height:275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линейная регрессия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оценки точности построенной модели, используя тестовый набор данных и статистику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  <w:vertAlign w:val="superscript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выполняется следующий код: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73" w:dyaOrig="1728">
          <v:rect xmlns:o="urn:schemas-microsoft-com:office:office" xmlns:v="urn:schemas-microsoft-com:vml" id="rectole0000000028" style="width:448.650000pt;height:86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19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оценка точности модели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 неточности модели говорит значение R2, чье значение, далеко от значения 1.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пишем функцию регрессии для оценки дома с параметрами: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244" w:dyaOrig="2611">
          <v:rect xmlns:o="urn:schemas-microsoft-com:office:office" xmlns:v="urn:schemas-microsoft-com:vml" id="rectole0000000029" style="width:262.200000pt;height:130.5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Уравнение линейной регрессии с заданными параметрами, для данной модели, будет равно: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y=B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(MedInc)+B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(HouseAge)+B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(AveRooms)+B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(AveBedrums)+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(Population)+B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(AveOccup)+B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(Latitude)+B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bscript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(Longitude)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26" w:dyaOrig="2773">
          <v:rect xmlns:o="urn:schemas-microsoft-com:office:office" xmlns:v="urn:schemas-microsoft-com:vml" id="rectole0000000030" style="width:436.300000pt;height:138.6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оценка точности модели c заданными параметрами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 же оценка дома, только используя метод LinearRegression.predict():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55" w:dyaOrig="2328">
          <v:rect xmlns:o="urn:schemas-microsoft-com:office:office" xmlns:v="urn:schemas-microsoft-com:vml" id="rectole0000000031" style="width:472.750000pt;height:116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2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оценка точности модели c заданными параметрами используя LinearRegression.predict()</w:t>
      </w:r>
    </w:p>
    <w:p>
      <w:pPr>
        <w:spacing w:before="0" w:after="12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Значения обоих подсчетов разными методами совпадают.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numPr>
          <w:ilvl w:val="0"/>
          <w:numId w:val="76"/>
        </w:numPr>
        <w:tabs>
          <w:tab w:val="left" w:pos="284" w:leader="none"/>
        </w:tabs>
        <w:spacing w:before="240" w:after="120" w:line="360"/>
        <w:ind w:right="0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СПИСОК ИСПОЛЬЗОВАННЫХ ИСТОЧНИКОВ</w:t>
      </w:r>
    </w:p>
    <w:p>
      <w:pPr>
        <w:numPr>
          <w:ilvl w:val="0"/>
          <w:numId w:val="76"/>
        </w:numPr>
        <w:tabs>
          <w:tab w:val="left" w:pos="1134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В.В. Жидченко. Линейная регрессия (Linear Regression): Метод. указания к лабораторным занятиям / Самар. ун-т; Сост. В.В. Жидченко. Самара, 2021. 16 с. 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19">
    <w:abstractNumId w:val="12"/>
  </w:num>
  <w:num w:numId="38">
    <w:abstractNumId w:val="6"/>
  </w:num>
  <w:num w:numId="7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